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262AC8">
        <w:rPr>
          <w:sz w:val="24"/>
          <w:szCs w:val="24"/>
        </w:rPr>
        <w:t>160 - 15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44FCA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75AC4">
        <w:rPr>
          <w:sz w:val="24"/>
          <w:szCs w:val="24"/>
        </w:rPr>
        <w:tab/>
      </w:r>
    </w:p>
    <w:p w:rsidR="00B30221" w:rsidRDefault="00D84F34">
      <w:pPr>
        <w:rPr>
          <w:sz w:val="24"/>
          <w:szCs w:val="24"/>
        </w:rPr>
      </w:pPr>
      <w:r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646C33">
        <w:rPr>
          <w:sz w:val="24"/>
          <w:szCs w:val="24"/>
        </w:rPr>
        <w:t xml:space="preserve">12. november </w:t>
      </w:r>
      <w:r w:rsidR="00F26654">
        <w:rPr>
          <w:sz w:val="24"/>
          <w:szCs w:val="24"/>
        </w:rPr>
        <w:t>2015</w:t>
      </w:r>
    </w:p>
    <w:p w:rsidR="004E0F9A" w:rsidRDefault="004E0F9A">
      <w:pPr>
        <w:rPr>
          <w:sz w:val="24"/>
          <w:szCs w:val="24"/>
        </w:rPr>
      </w:pPr>
    </w:p>
    <w:p w:rsidR="00720FD8" w:rsidRPr="00075AC4" w:rsidRDefault="00D84F34">
      <w:pPr>
        <w:rPr>
          <w:b/>
          <w:sz w:val="28"/>
          <w:szCs w:val="28"/>
          <w:u w:val="single"/>
        </w:rPr>
      </w:pPr>
      <w:r w:rsidRPr="00075AC4">
        <w:rPr>
          <w:b/>
          <w:sz w:val="28"/>
          <w:szCs w:val="28"/>
          <w:u w:val="single"/>
        </w:rPr>
        <w:t>STATUSRAPPORT, NY HOVEDBRANNSTASJON MED ØYEBLIKKELIG HJELP, LEGEVAKT OG AMBULANSESENTRAL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>I denne saken legges frem status for prosjektet ny hovedbrannstasjon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Epcon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44FCA">
        <w:rPr>
          <w:color w:val="000000" w:themeColor="text1"/>
        </w:rPr>
        <w:t>Reg.plan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520,5 mill kr (K0)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r>
        <w:t>Dagmultbelagte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342006" w:rsidRDefault="00342006" w:rsidP="00342006">
      <w:pPr>
        <w:rPr>
          <w:b/>
          <w:color w:val="000000" w:themeColor="text1"/>
          <w:u w:val="single"/>
        </w:rPr>
      </w:pPr>
      <w:r w:rsidRPr="00B763A7">
        <w:rPr>
          <w:b/>
          <w:noProof/>
          <w:color w:val="000000" w:themeColor="text1"/>
          <w:u w:val="single"/>
        </w:rPr>
        <w:lastRenderedPageBreak/>
        <w:drawing>
          <wp:inline distT="0" distB="0" distL="0" distR="0" wp14:anchorId="51F170DF" wp14:editId="36840988">
            <wp:extent cx="2847975" cy="32766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Pr="00A21214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</w:p>
    <w:p w:rsidR="00342006" w:rsidRDefault="00342006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elementmontasje november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utarbeidelse av husleiekontrakter høsten 2015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Pr="00A21214" w:rsidRDefault="00D84F34" w:rsidP="00A21214">
      <w:pPr>
        <w:spacing w:after="0" w:line="360" w:lineRule="auto"/>
        <w:rPr>
          <w:rFonts w:ascii="Times New Roman" w:hAnsi="Times New Roman"/>
        </w:rPr>
      </w:pP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Det er engasjert SHA-koordinator for både prosjekteringsfasen og gjennomføringsfasen via rammeavtale med Epcon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lastRenderedPageBreak/>
        <w:t xml:space="preserve">Vernerunder gjennomføres hver 14. dag i </w:t>
      </w:r>
      <w:r w:rsidR="00B44FCA">
        <w:rPr>
          <w:color w:val="000000" w:themeColor="text1"/>
        </w:rPr>
        <w:t>byggefasen.</w:t>
      </w:r>
    </w:p>
    <w:p w:rsidR="00B44FCA" w:rsidRPr="00B44FCA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HMS-plan er utarbeidet og gjennomgått.</w:t>
      </w:r>
    </w:p>
    <w:p w:rsidR="00B44FCA" w:rsidRPr="00646C33" w:rsidRDefault="00B44FCA" w:rsidP="00646C33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Totalentreprenør har utarbeidet personlige sikkerhetsinstruks som hver </w:t>
      </w:r>
      <w:r w:rsidR="00F55967">
        <w:rPr>
          <w:color w:val="000000" w:themeColor="text1"/>
        </w:rPr>
        <w:t>deltaker i prosjektet må lese og signere når de ankommer byggeplass.</w:t>
      </w:r>
    </w:p>
    <w:p w:rsidR="00646C33" w:rsidRPr="00646C33" w:rsidRDefault="00646C33" w:rsidP="00646C33">
      <w:pPr>
        <w:ind w:left="708"/>
        <w:rPr>
          <w:b/>
          <w:color w:val="000000" w:themeColor="text1"/>
          <w:u w:val="single"/>
        </w:rPr>
      </w:pP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134"/>
        <w:gridCol w:w="1701"/>
      </w:tblGrid>
      <w:tr w:rsidR="00F55967" w:rsidRPr="001C0CB1" w:rsidTr="00F55967">
        <w:tc>
          <w:tcPr>
            <w:tcW w:w="8080" w:type="dxa"/>
            <w:gridSpan w:val="4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prosjektet: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55967" w:rsidRPr="001C0CB1" w:rsidRDefault="00F55967" w:rsidP="004F1A8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I perioden</w:t>
            </w:r>
          </w:p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(14 dager)</w:t>
            </w:r>
          </w:p>
        </w:tc>
        <w:tc>
          <w:tcPr>
            <w:tcW w:w="1134" w:type="dxa"/>
            <w:vAlign w:val="center"/>
          </w:tcPr>
          <w:p w:rsidR="00F55967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</w:t>
            </w:r>
          </w:p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år</w:t>
            </w:r>
          </w:p>
        </w:tc>
        <w:tc>
          <w:tcPr>
            <w:tcW w:w="1701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F55967" w:rsidRPr="001C0CB1" w:rsidRDefault="00646C3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55967" w:rsidRPr="001C0CB1" w:rsidRDefault="00646C3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F55967" w:rsidRPr="001C0CB1" w:rsidRDefault="00646C3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1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646C3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55967" w:rsidRPr="001C0CB1" w:rsidRDefault="00646C3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646C3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55967" w:rsidRPr="001C0CB1" w:rsidRDefault="00646C33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KS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UE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KS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55967" w:rsidRPr="00873728" w:rsidRDefault="00F55967" w:rsidP="00F55967">
      <w:pPr>
        <w:pStyle w:val="Listeavsnitt"/>
        <w:rPr>
          <w:b/>
          <w:color w:val="000000" w:themeColor="text1"/>
          <w:u w:val="single"/>
        </w:rPr>
      </w:pP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20m)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høyden, det skal monteres glasstak 10m over gulv</w:t>
      </w:r>
    </w:p>
    <w:p w:rsidR="00C83D30" w:rsidRDefault="00C83D30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Økonomisk risiko: Refusjonskrav i utbyggingsavtale ikke avklart</w:t>
      </w:r>
    </w:p>
    <w:p w:rsidR="00D84F34" w:rsidRDefault="00D84F34" w:rsidP="00D84F34">
      <w:pPr>
        <w:pStyle w:val="Listeavsnitt"/>
        <w:spacing w:after="0" w:line="360" w:lineRule="auto"/>
      </w:pPr>
    </w:p>
    <w:p w:rsidR="00D84F34" w:rsidRDefault="00F55967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D84F34">
        <w:rPr>
          <w:b/>
          <w:color w:val="000000" w:themeColor="text1"/>
          <w:u w:val="single"/>
        </w:rPr>
        <w:t>Pågående aktiviteter</w:t>
      </w:r>
    </w:p>
    <w:p w:rsidR="004B23AB" w:rsidRDefault="004B23A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Totalentreprenør har varslet framdriftskonsekvenser pga. omprosjektering på 3-5 uker. Det er usikkerhet knyttet til om dette kan innhentes igjen i byggeperioden eller om sluttdato forskyves. Framdriftsplan vil bli revidert for å kartlegge konsekvenser av forsinkelsene.</w:t>
      </w:r>
    </w:p>
    <w:p w:rsidR="004B23AB" w:rsidRDefault="004B23A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Første delbestilling av betongelementer er satt i bestilling 30. september, ca</w:t>
      </w:r>
      <w:r w:rsidR="00342006">
        <w:rPr>
          <w:color w:val="000000" w:themeColor="text1"/>
        </w:rPr>
        <w:t>.</w:t>
      </w:r>
      <w:r>
        <w:rPr>
          <w:color w:val="000000" w:themeColor="text1"/>
        </w:rPr>
        <w:t xml:space="preserve"> 15 dager etter framdriftsplan. </w:t>
      </w:r>
    </w:p>
    <w:p w:rsidR="004B23AB" w:rsidRDefault="004B23A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IG-tillatelse for råbygget ble gitt 13. oktober 2015.</w:t>
      </w:r>
    </w:p>
    <w:p w:rsidR="004B23AB" w:rsidRDefault="007144E7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Støpning</w:t>
      </w:r>
      <w:r w:rsidR="004B23AB">
        <w:rPr>
          <w:color w:val="000000" w:themeColor="text1"/>
        </w:rPr>
        <w:t xml:space="preserve"> av gulv i teknisk rom under legevakt/øyeblikkelig hjelp.</w:t>
      </w:r>
    </w:p>
    <w:p w:rsidR="004B23AB" w:rsidRDefault="004B23A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Fordrøyningsbasseng og kanaler for overvann legges i grunnen</w:t>
      </w:r>
    </w:p>
    <w:p w:rsidR="004B23AB" w:rsidRDefault="007144E7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Støping</w:t>
      </w:r>
      <w:r w:rsidR="004B23AB">
        <w:rPr>
          <w:color w:val="000000" w:themeColor="text1"/>
        </w:rPr>
        <w:t xml:space="preserve"> av fundamenter og ringmur fortsetter i bygg 2 (gymsal, ambulanse og 110-sentral)</w:t>
      </w:r>
    </w:p>
    <w:p w:rsidR="004B23AB" w:rsidRDefault="004B23AB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Møte med Husbanken avholdt for å avklare krav til øyeblikkelig hjelp. Prosjektets forprosjekt ble ikke godkjent av Husbanken. Det ble stilt krav til økt areal for baderommene og minimumsbredder i pasientrom. Dette har medført at en måtte omprosjektere og redusere antall rom fra 20 til 17. Husbanken har gitt en foreløpig aksept for omprosjektert løsning som en sammen med </w:t>
      </w:r>
      <w:r w:rsidR="00B27A9C">
        <w:rPr>
          <w:color w:val="000000" w:themeColor="text1"/>
        </w:rPr>
        <w:t>brukere har akseptert som løsning i prosjektet.</w:t>
      </w:r>
      <w:r w:rsidR="00342006">
        <w:rPr>
          <w:color w:val="000000" w:themeColor="text1"/>
        </w:rPr>
        <w:t xml:space="preserve"> Omprosjektering av trinn 1 har medført forsinkelser.</w:t>
      </w:r>
    </w:p>
    <w:p w:rsidR="00B27A9C" w:rsidRDefault="00B27A9C" w:rsidP="0046522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Det skal inngås skriftlig avtale mellom Sandnes eiendomsselskap KF og Sandnes kommune, Bymiljø for drenering av vannkummer som ligger inne på tomten og for legging av snøsmelteanlegg i utrykningstrase over gs-vei helt ut til vegkant av kommunal veg slik at en hindrer mellompartier som ikke vintervedlikeholdes slik en har behov for i utrykningstra</w:t>
      </w:r>
      <w:r w:rsidR="00342006">
        <w:rPr>
          <w:color w:val="000000" w:themeColor="text1"/>
        </w:rPr>
        <w:t>s</w:t>
      </w:r>
      <w:r>
        <w:rPr>
          <w:color w:val="000000" w:themeColor="text1"/>
        </w:rPr>
        <w:t xml:space="preserve">seens lengde. </w:t>
      </w:r>
    </w:p>
    <w:p w:rsidR="00B763A7" w:rsidRPr="00B27A9C" w:rsidRDefault="00B27A9C" w:rsidP="00B27A9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lastRenderedPageBreak/>
        <w:t>Avklaring av inventarkjøp i prosjektet. Hva skal legges inn i prosjektet og hva må brukerne selv stå ansvarlig for.</w:t>
      </w:r>
      <w:r w:rsidR="00342006">
        <w:rPr>
          <w:color w:val="000000" w:themeColor="text1"/>
        </w:rPr>
        <w:t xml:space="preserve"> Det er budsjettert med 45 mill kr i inventar. Brukere av bygget har svært ulik forventning til hva som dekkes i investeringsprosjektet. Kostnader knyttet til inventar vil ligge som en del av kostnadsgrunnlaget for husleie. Det er avholdt møte med regnskap i Sandnes kommune for avklaring av hvor grensesnitt mellom investering- og driftskostnader ligger mtp. innkjøp av inventar. </w:t>
      </w:r>
      <w:r w:rsidR="003413B9">
        <w:rPr>
          <w:color w:val="000000" w:themeColor="text1"/>
        </w:rPr>
        <w:t>Uklare definisjoner. Sak der en trekker opp forslag til grense</w:t>
      </w:r>
      <w:r w:rsidR="007144E7">
        <w:rPr>
          <w:color w:val="000000" w:themeColor="text1"/>
        </w:rPr>
        <w:t>s</w:t>
      </w:r>
      <w:r w:rsidR="003413B9">
        <w:rPr>
          <w:color w:val="000000" w:themeColor="text1"/>
        </w:rPr>
        <w:t>nitt legges fram for styrebehandling desember 2015.</w:t>
      </w:r>
      <w:r w:rsidR="00342006">
        <w:rPr>
          <w:color w:val="000000" w:themeColor="text1"/>
        </w:rPr>
        <w:t xml:space="preserve"> </w:t>
      </w:r>
    </w:p>
    <w:p w:rsidR="00B27A9C" w:rsidRPr="00B27A9C" w:rsidRDefault="00B27A9C" w:rsidP="00B27A9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Avklaring av og prosjektering av konkurransegrunnlag for de ulike anskaffelsene knyttet til ulike inventar.</w:t>
      </w:r>
    </w:p>
    <w:p w:rsidR="00B763A7" w:rsidRDefault="00B27A9C" w:rsidP="00342006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Utforming av 110-sentral og stabsrom i brannstasjonsdel. Dette er spesialrom som skal utformes i tett samarbeid med bruker med konsulentbistand fra RIE og arkitekt.</w:t>
      </w:r>
      <w:r w:rsidR="00342006" w:rsidRPr="002C014A">
        <w:rPr>
          <w:b/>
          <w:color w:val="000000" w:themeColor="text1"/>
          <w:u w:val="single"/>
        </w:rPr>
        <w:t xml:space="preserve"> </w:t>
      </w:r>
    </w:p>
    <w:p w:rsidR="003413B9" w:rsidRPr="002C014A" w:rsidRDefault="003413B9" w:rsidP="003413B9">
      <w:pPr>
        <w:pStyle w:val="Listeavsnitt"/>
        <w:rPr>
          <w:b/>
          <w:color w:val="000000" w:themeColor="text1"/>
          <w:u w:val="single"/>
        </w:rPr>
      </w:pPr>
    </w:p>
    <w:p w:rsidR="00D84F34" w:rsidRPr="003413B9" w:rsidRDefault="002C014A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color w:val="000000" w:themeColor="text1"/>
        </w:rPr>
        <w:t xml:space="preserve"> </w:t>
      </w:r>
      <w:r w:rsidR="00D84F34" w:rsidRPr="003413B9">
        <w:rPr>
          <w:b/>
          <w:color w:val="000000" w:themeColor="text1"/>
          <w:u w:val="single"/>
        </w:rPr>
        <w:t>Kostnader;</w:t>
      </w:r>
    </w:p>
    <w:p w:rsidR="00A21214" w:rsidRDefault="00A21214" w:rsidP="00D84F34">
      <w:pPr>
        <w:rPr>
          <w:color w:val="000000" w:themeColor="text1"/>
        </w:rPr>
      </w:pPr>
    </w:p>
    <w:p w:rsidR="00D84F34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Prosjektet blir delt i fire separate prosjekt</w:t>
      </w:r>
      <w:r w:rsidR="00A21214">
        <w:rPr>
          <w:color w:val="000000" w:themeColor="text1"/>
        </w:rPr>
        <w:t xml:space="preserve"> det føres egne bygger</w:t>
      </w:r>
      <w:r w:rsidR="00342006">
        <w:rPr>
          <w:color w:val="000000" w:themeColor="text1"/>
        </w:rPr>
        <w:t>egnskap for. Inndeling er basert på areal. Løsningen er godkjent av Skatt Vest</w:t>
      </w:r>
      <w:r>
        <w:rPr>
          <w:color w:val="000000" w:themeColor="text1"/>
        </w:rPr>
        <w:t>: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intern del for Sandnes kommune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ekstern del for Gjesdal, Time og Klepp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Hovedbrannstasjon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Ambulansesentral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Prosjektet kan gjennomføres innenfor rammen.</w:t>
      </w:r>
      <w:r w:rsidR="009F6F1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 xml:space="preserve">vil </w:t>
      </w:r>
      <w:r w:rsidR="00CE31E1">
        <w:rPr>
          <w:color w:val="000000" w:themeColor="text1"/>
        </w:rPr>
        <w:t>kunne gjennomføres innenfor budsjettramme.</w:t>
      </w:r>
    </w:p>
    <w:p w:rsidR="00262AC8" w:rsidRDefault="00262AC8" w:rsidP="00D84F34">
      <w:pPr>
        <w:rPr>
          <w:b/>
          <w:color w:val="000000" w:themeColor="text1"/>
          <w:u w:val="single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720FD8" w:rsidRDefault="00BF66BD" w:rsidP="00BF66BD">
      <w:pPr>
        <w:pStyle w:val="Listeavsnitt"/>
        <w:numPr>
          <w:ilvl w:val="0"/>
          <w:numId w:val="5"/>
        </w:numPr>
      </w:pPr>
      <w:r>
        <w:t>Utbyggingsavtale foreligger, men det er ikke mottatt faktura på bidrag det er stilt krav om i avtalen enda.</w:t>
      </w:r>
    </w:p>
    <w:p w:rsidR="009F6F17" w:rsidRDefault="009F6F17" w:rsidP="00BF66BD">
      <w:pPr>
        <w:pStyle w:val="Listeavsnitt"/>
        <w:numPr>
          <w:ilvl w:val="0"/>
          <w:numId w:val="5"/>
        </w:numPr>
      </w:pPr>
      <w:r>
        <w:t xml:space="preserve">Det er sendt en henvendelse til Byplan for å </w:t>
      </w:r>
      <w:r w:rsidR="003413B9">
        <w:t xml:space="preserve">få informasjon om </w:t>
      </w:r>
      <w:r>
        <w:t>hvordan framdrift for tiltakene knyttet til veiinfrastruktur det betales inn økonomisk bidrag for</w:t>
      </w:r>
      <w:r w:rsidR="003413B9">
        <w:t>,</w:t>
      </w:r>
      <w:r>
        <w:t xml:space="preserve"> blir ivaretatt. Foreløpig har ikke SVV lagt fram noen framdriftsplan for disse prosjektene. </w:t>
      </w:r>
      <w:r w:rsidR="003413B9">
        <w:t xml:space="preserve">Det er svært viktig med tett dialog med Helse Stavanger (Ambulansesentral) og Rogaland brann og redning IKS i planleggingen av de overnevnte tiltak slik at ikke </w:t>
      </w:r>
      <w:r w:rsidR="007144E7">
        <w:t>utrykningskjøretøy</w:t>
      </w:r>
      <w:r w:rsidR="003413B9">
        <w:t xml:space="preserve"> blir hindret av begrenset fremkommelighet i akuttsituasjoner.</w:t>
      </w:r>
    </w:p>
    <w:p w:rsidR="00BF66BD" w:rsidRDefault="00BF66BD" w:rsidP="0096613E">
      <w:pPr>
        <w:pStyle w:val="Listeavsnitt"/>
      </w:pPr>
    </w:p>
    <w:p w:rsidR="00BF66BD" w:rsidRDefault="00BF66BD" w:rsidP="00BF66BD">
      <w:pPr>
        <w:pStyle w:val="Listeavsnitt"/>
      </w:pPr>
    </w:p>
    <w:p w:rsidR="00262AC8" w:rsidRDefault="00262A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8300B" w:rsidRDefault="000835D0" w:rsidP="005A4DBB">
      <w:pPr>
        <w:rPr>
          <w:b/>
          <w:sz w:val="28"/>
          <w:szCs w:val="28"/>
        </w:rPr>
      </w:pPr>
      <w:bookmarkStart w:id="0" w:name="_GoBack"/>
      <w:bookmarkEnd w:id="0"/>
      <w:r w:rsidRPr="00156569">
        <w:rPr>
          <w:b/>
          <w:sz w:val="28"/>
          <w:szCs w:val="28"/>
          <w:u w:val="single"/>
        </w:rPr>
        <w:lastRenderedPageBreak/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D84F34" w:rsidRDefault="00D84F34" w:rsidP="00262AC8">
      <w:pPr>
        <w:pStyle w:val="Listeavsnitt"/>
        <w:numPr>
          <w:ilvl w:val="0"/>
          <w:numId w:val="9"/>
        </w:numPr>
        <w:spacing w:after="0"/>
      </w:pPr>
      <w:r>
        <w:t xml:space="preserve">Saken tas til orientering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9F6F17">
        <w:rPr>
          <w:rFonts w:ascii="Times New Roman" w:hAnsi="Times New Roman" w:cs="Times New Roman"/>
          <w:sz w:val="24"/>
          <w:szCs w:val="24"/>
        </w:rPr>
        <w:t>0</w:t>
      </w:r>
      <w:r w:rsidR="00262AC8">
        <w:rPr>
          <w:rFonts w:ascii="Times New Roman" w:hAnsi="Times New Roman" w:cs="Times New Roman"/>
          <w:sz w:val="24"/>
          <w:szCs w:val="24"/>
        </w:rPr>
        <w:t>4</w:t>
      </w:r>
      <w:r w:rsidR="009F6F17">
        <w:rPr>
          <w:rFonts w:ascii="Times New Roman" w:hAnsi="Times New Roman" w:cs="Times New Roman"/>
          <w:sz w:val="24"/>
          <w:szCs w:val="24"/>
        </w:rPr>
        <w:t>.11</w:t>
      </w:r>
      <w:r w:rsidR="009040B2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D84F34" w:rsidRDefault="007144E7" w:rsidP="00D84F34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B2" w:rsidRDefault="009040B2" w:rsidP="00D84F34"/>
    <w:sectPr w:rsidR="009040B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760D"/>
    <w:multiLevelType w:val="hybridMultilevel"/>
    <w:tmpl w:val="5F42B9E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44B8C"/>
    <w:rsid w:val="00075AC4"/>
    <w:rsid w:val="00075EBA"/>
    <w:rsid w:val="000835D0"/>
    <w:rsid w:val="00085650"/>
    <w:rsid w:val="00097712"/>
    <w:rsid w:val="000B30FA"/>
    <w:rsid w:val="000F12FE"/>
    <w:rsid w:val="001269B0"/>
    <w:rsid w:val="00135883"/>
    <w:rsid w:val="00156569"/>
    <w:rsid w:val="001870CE"/>
    <w:rsid w:val="00190A2F"/>
    <w:rsid w:val="001959FF"/>
    <w:rsid w:val="00196F0B"/>
    <w:rsid w:val="001B2A09"/>
    <w:rsid w:val="001E2546"/>
    <w:rsid w:val="00206A8B"/>
    <w:rsid w:val="00262AC8"/>
    <w:rsid w:val="00263933"/>
    <w:rsid w:val="00280231"/>
    <w:rsid w:val="002A2365"/>
    <w:rsid w:val="002C014A"/>
    <w:rsid w:val="002D1229"/>
    <w:rsid w:val="00325848"/>
    <w:rsid w:val="003413B9"/>
    <w:rsid w:val="00342006"/>
    <w:rsid w:val="00342897"/>
    <w:rsid w:val="003B2054"/>
    <w:rsid w:val="003E1121"/>
    <w:rsid w:val="004075E2"/>
    <w:rsid w:val="00430622"/>
    <w:rsid w:val="00487D79"/>
    <w:rsid w:val="004A4B82"/>
    <w:rsid w:val="004B23AB"/>
    <w:rsid w:val="004C093A"/>
    <w:rsid w:val="004E0F9A"/>
    <w:rsid w:val="005511ED"/>
    <w:rsid w:val="00553313"/>
    <w:rsid w:val="005A4DBB"/>
    <w:rsid w:val="00627625"/>
    <w:rsid w:val="006317D5"/>
    <w:rsid w:val="00646C33"/>
    <w:rsid w:val="0068300B"/>
    <w:rsid w:val="006842E6"/>
    <w:rsid w:val="006908BF"/>
    <w:rsid w:val="006E7090"/>
    <w:rsid w:val="006F078A"/>
    <w:rsid w:val="006F671A"/>
    <w:rsid w:val="007144E7"/>
    <w:rsid w:val="00720FD8"/>
    <w:rsid w:val="00727BEA"/>
    <w:rsid w:val="00740CC7"/>
    <w:rsid w:val="007708FB"/>
    <w:rsid w:val="00781B98"/>
    <w:rsid w:val="00793252"/>
    <w:rsid w:val="007B459C"/>
    <w:rsid w:val="007C775B"/>
    <w:rsid w:val="007E20D5"/>
    <w:rsid w:val="007E2845"/>
    <w:rsid w:val="008068CD"/>
    <w:rsid w:val="00820F3D"/>
    <w:rsid w:val="00847DA3"/>
    <w:rsid w:val="008668CB"/>
    <w:rsid w:val="00873728"/>
    <w:rsid w:val="008C1A3D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5624"/>
    <w:rsid w:val="009D387A"/>
    <w:rsid w:val="009F6F17"/>
    <w:rsid w:val="00A21214"/>
    <w:rsid w:val="00A834D7"/>
    <w:rsid w:val="00AA60A7"/>
    <w:rsid w:val="00AA62F2"/>
    <w:rsid w:val="00AA7F4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B1A4C"/>
    <w:rsid w:val="00BC664E"/>
    <w:rsid w:val="00BF66BD"/>
    <w:rsid w:val="00C27D11"/>
    <w:rsid w:val="00C470A3"/>
    <w:rsid w:val="00C83D30"/>
    <w:rsid w:val="00CC5B49"/>
    <w:rsid w:val="00CE31E1"/>
    <w:rsid w:val="00CF4C50"/>
    <w:rsid w:val="00D84F34"/>
    <w:rsid w:val="00D90003"/>
    <w:rsid w:val="00DA5991"/>
    <w:rsid w:val="00DE58E6"/>
    <w:rsid w:val="00DF14E9"/>
    <w:rsid w:val="00E35F1D"/>
    <w:rsid w:val="00E51D94"/>
    <w:rsid w:val="00E62959"/>
    <w:rsid w:val="00F228E5"/>
    <w:rsid w:val="00F26654"/>
    <w:rsid w:val="00F52164"/>
    <w:rsid w:val="00F55967"/>
    <w:rsid w:val="00F65156"/>
    <w:rsid w:val="00F659E3"/>
    <w:rsid w:val="00FC2EC8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vdata.no/dokument/SF/forskrift/2011-12-06-135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D791-3224-44A0-9B1B-7C9AB2B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2015-11-03T10:01:00Z</cp:lastPrinted>
  <dcterms:created xsi:type="dcterms:W3CDTF">2015-11-03T19:22:00Z</dcterms:created>
  <dcterms:modified xsi:type="dcterms:W3CDTF">2015-11-03T19:22:00Z</dcterms:modified>
</cp:coreProperties>
</file>